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0CC" w:rsidRDefault="00C73A13" w:rsidP="00B6359B">
      <w:pPr>
        <w:jc w:val="both"/>
      </w:pPr>
      <w:r>
        <w:rPr>
          <w:caps/>
        </w:rPr>
        <w:t xml:space="preserve">   </w:t>
      </w:r>
      <w:r w:rsidR="006D7CDF" w:rsidRPr="00584AE2">
        <w:rPr>
          <w:caps/>
        </w:rPr>
        <w:t xml:space="preserve"> </w:t>
      </w:r>
      <w:r w:rsidR="006D7CDF" w:rsidRPr="00584AE2">
        <w:t xml:space="preserve"> </w:t>
      </w:r>
      <w:r>
        <w:t xml:space="preserve"> </w:t>
      </w:r>
      <w:r w:rsidR="006D7CDF" w:rsidRPr="00584AE2">
        <w:t xml:space="preserve">С рабочей поездкой 9 сентября 2014 года врио </w:t>
      </w:r>
      <w:r w:rsidR="00C61DEA" w:rsidRPr="00584AE2">
        <w:t>Г</w:t>
      </w:r>
      <w:r w:rsidR="006D7CDF" w:rsidRPr="00584AE2">
        <w:t xml:space="preserve">убернатора Ненецкого автономного округа Игорь Кошин посетил село Оксино. </w:t>
      </w:r>
    </w:p>
    <w:p w:rsidR="00B6359B" w:rsidRPr="00584AE2" w:rsidRDefault="006400CC" w:rsidP="00B6359B">
      <w:pPr>
        <w:jc w:val="both"/>
      </w:pPr>
      <w:r>
        <w:t xml:space="preserve">  </w:t>
      </w:r>
      <w:r w:rsidR="00C73A13">
        <w:t xml:space="preserve">   </w:t>
      </w:r>
      <w:r>
        <w:t xml:space="preserve">  </w:t>
      </w:r>
      <w:r w:rsidR="006D7CDF" w:rsidRPr="00584AE2">
        <w:t>В состав  рабочей группы</w:t>
      </w:r>
      <w:r w:rsidR="00C61DEA" w:rsidRPr="00584AE2">
        <w:t xml:space="preserve"> также</w:t>
      </w:r>
      <w:r w:rsidR="006D7CDF" w:rsidRPr="00584AE2">
        <w:t xml:space="preserve"> вошли</w:t>
      </w:r>
      <w:r w:rsidR="00C61DEA" w:rsidRPr="00584AE2">
        <w:t>:</w:t>
      </w:r>
      <w:r w:rsidR="006D7CDF" w:rsidRPr="00584AE2">
        <w:t xml:space="preserve"> </w:t>
      </w:r>
      <w:r w:rsidR="00A20867" w:rsidRPr="00584AE2">
        <w:t>Елена Вторыгина депутат Государственной Думы Российской Федерации,</w:t>
      </w:r>
      <w:r w:rsidR="00D0311D" w:rsidRPr="00584AE2">
        <w:t xml:space="preserve"> Владимир Иевлев главный федеральный инспектор по НАО, </w:t>
      </w:r>
      <w:r w:rsidR="00C61DEA" w:rsidRPr="00584AE2">
        <w:t xml:space="preserve">Николай Егоров прокурор Ненецкого автономного округа, </w:t>
      </w:r>
      <w:r w:rsidR="006D7CDF" w:rsidRPr="00584AE2">
        <w:t xml:space="preserve">Виктор Ильин </w:t>
      </w:r>
      <w:r>
        <w:t>с</w:t>
      </w:r>
      <w:r w:rsidR="006D7CDF" w:rsidRPr="00584AE2">
        <w:t>оветник губернатора НАО, Галина Медведева заместитель главы Администрации НАО по социальным вопросам</w:t>
      </w:r>
      <w:r w:rsidR="00B6359B" w:rsidRPr="00584AE2">
        <w:t>,</w:t>
      </w:r>
      <w:r w:rsidR="00C61DEA" w:rsidRPr="00584AE2">
        <w:t xml:space="preserve"> Александр Безумов глава МО «Муниципальный район «Заполярный район»,</w:t>
      </w:r>
      <w:r w:rsidR="00B6359B" w:rsidRPr="00584AE2">
        <w:t xml:space="preserve"> Сергей Киселев начальник Управления агропромышленного комплекса и торговли НАО</w:t>
      </w:r>
      <w:r>
        <w:t>, представители прессы и телевидения.</w:t>
      </w:r>
    </w:p>
    <w:p w:rsidR="007F6A8B" w:rsidRPr="00F97DAE" w:rsidRDefault="007F6A8B" w:rsidP="007F6A8B">
      <w:pPr>
        <w:jc w:val="both"/>
      </w:pPr>
      <w:r w:rsidRPr="00584AE2">
        <w:t xml:space="preserve">  </w:t>
      </w:r>
      <w:r w:rsidR="006400CC">
        <w:t xml:space="preserve">   Рабочая группа</w:t>
      </w:r>
      <w:r w:rsidRPr="00584AE2">
        <w:t xml:space="preserve"> </w:t>
      </w:r>
      <w:r w:rsidR="006400CC">
        <w:t>посетила</w:t>
      </w:r>
      <w:r w:rsidRPr="00584AE2">
        <w:t xml:space="preserve"> ферму СПК РК «Победа», дизельную электростанцию, </w:t>
      </w:r>
      <w:r w:rsidR="00514E4C" w:rsidRPr="00584AE2">
        <w:t>МБ</w:t>
      </w:r>
      <w:r w:rsidR="00E80304">
        <w:t>Д</w:t>
      </w:r>
      <w:r w:rsidR="00514E4C" w:rsidRPr="00584AE2">
        <w:t>ОУ ЗР «Детский сад общеразвивающего вида с. Оксино»</w:t>
      </w:r>
      <w:r w:rsidR="00584AE2" w:rsidRPr="00584AE2">
        <w:t>,</w:t>
      </w:r>
      <w:r w:rsidR="00F97DAE">
        <w:t xml:space="preserve"> </w:t>
      </w:r>
      <w:r w:rsidR="00514E4C" w:rsidRPr="00584AE2">
        <w:rPr>
          <w:color w:val="000000"/>
        </w:rPr>
        <w:t>МБОУ ЗР «Средняя общеобразовательная школа с. Оксино»</w:t>
      </w:r>
      <w:r w:rsidR="00584AE2" w:rsidRPr="00584AE2">
        <w:rPr>
          <w:color w:val="000000"/>
        </w:rPr>
        <w:t>,</w:t>
      </w:r>
      <w:r w:rsidR="00514E4C" w:rsidRPr="00584AE2">
        <w:rPr>
          <w:color w:val="000000"/>
        </w:rPr>
        <w:t xml:space="preserve"> КУЗ «Оксинская участковая больница», магазин Нижне-Печорского потребительского общества, </w:t>
      </w:r>
      <w:r w:rsidRPr="00584AE2">
        <w:t>осмотрели объекты строительства</w:t>
      </w:r>
      <w:r w:rsidR="00514E4C" w:rsidRPr="00584AE2">
        <w:t>:</w:t>
      </w:r>
      <w:r w:rsidRPr="00584AE2">
        <w:t xml:space="preserve"> физкультурно-оз</w:t>
      </w:r>
      <w:r w:rsidR="0024377D" w:rsidRPr="00584AE2">
        <w:t xml:space="preserve">доровительный </w:t>
      </w:r>
      <w:r w:rsidRPr="00584AE2">
        <w:t xml:space="preserve">и </w:t>
      </w:r>
      <w:r w:rsidR="0024377D" w:rsidRPr="00584AE2">
        <w:t>музейно-библиотечный</w:t>
      </w:r>
      <w:r w:rsidR="00514E4C" w:rsidRPr="00584AE2">
        <w:t xml:space="preserve"> комплексы. Во всех организациях и учреждениях состоялись конструктивные беседы с руководителями</w:t>
      </w:r>
      <w:r w:rsidR="00584AE2" w:rsidRPr="00584AE2">
        <w:t xml:space="preserve"> предприятий</w:t>
      </w:r>
      <w:r w:rsidR="00514E4C" w:rsidRPr="00584AE2">
        <w:t>.</w:t>
      </w:r>
      <w:r w:rsidR="00514E4C" w:rsidRPr="00584AE2">
        <w:rPr>
          <w:color w:val="000000"/>
        </w:rPr>
        <w:t xml:space="preserve"> На </w:t>
      </w:r>
      <w:r w:rsidR="00514E4C" w:rsidRPr="00584AE2">
        <w:t>встрече</w:t>
      </w:r>
      <w:r w:rsidR="008B24E5" w:rsidRPr="00584AE2">
        <w:t xml:space="preserve"> с жителями села Игорь Кошин и Александр Безумов</w:t>
      </w:r>
      <w:r w:rsidR="00514E4C" w:rsidRPr="00584AE2">
        <w:t xml:space="preserve"> ответили на вопросы о</w:t>
      </w:r>
      <w:r w:rsidR="008B24E5" w:rsidRPr="00584AE2">
        <w:t xml:space="preserve">: газификации села, </w:t>
      </w:r>
      <w:r w:rsidR="00514E4C" w:rsidRPr="00584AE2">
        <w:t xml:space="preserve"> </w:t>
      </w:r>
      <w:r w:rsidR="008B24E5" w:rsidRPr="00584AE2">
        <w:t xml:space="preserve">работе речного </w:t>
      </w:r>
      <w:r w:rsidR="00E80304">
        <w:t>транспорта</w:t>
      </w:r>
      <w:r w:rsidR="008B24E5" w:rsidRPr="00584AE2">
        <w:t>, устойчивой мобильной связи, работе речного вокзала в г.Нарьян-Маре, строительстве жилья для специалистов, снабжении сельских магазинов продуктами питания, работе платежных терминалов.</w:t>
      </w:r>
      <w:r w:rsidR="00584AE2" w:rsidRPr="00584AE2">
        <w:t xml:space="preserve"> Елена Вторыгина рассказала о </w:t>
      </w:r>
      <w:r w:rsidR="00E80304">
        <w:t xml:space="preserve"> своей </w:t>
      </w:r>
      <w:r w:rsidR="00584AE2" w:rsidRPr="00584AE2">
        <w:t>работе в Государственной Думе РФ.</w:t>
      </w:r>
    </w:p>
    <w:p w:rsidR="007F6A8B" w:rsidRPr="00584AE2" w:rsidRDefault="007F6A8B" w:rsidP="007F6A8B">
      <w:pPr>
        <w:jc w:val="both"/>
      </w:pPr>
    </w:p>
    <w:p w:rsidR="006D7CDF" w:rsidRPr="00584AE2" w:rsidRDefault="007F6A8B" w:rsidP="006D7CDF">
      <w:pPr>
        <w:jc w:val="both"/>
        <w:outlineLvl w:val="0"/>
      </w:pPr>
      <w:r w:rsidRPr="00584AE2">
        <w:t xml:space="preserve">  </w:t>
      </w:r>
    </w:p>
    <w:p w:rsidR="006D7CDF" w:rsidRPr="006D7CDF" w:rsidRDefault="006D7CDF" w:rsidP="006D7CDF">
      <w:pPr>
        <w:jc w:val="both"/>
        <w:outlineLvl w:val="0"/>
        <w:rPr>
          <w:caps/>
        </w:rPr>
      </w:pPr>
    </w:p>
    <w:tbl>
      <w:tblPr>
        <w:tblW w:w="9498" w:type="dxa"/>
        <w:tblInd w:w="108" w:type="dxa"/>
        <w:tblLayout w:type="fixed"/>
        <w:tblLook w:val="01E0"/>
      </w:tblPr>
      <w:tblGrid>
        <w:gridCol w:w="1560"/>
        <w:gridCol w:w="360"/>
        <w:gridCol w:w="7578"/>
      </w:tblGrid>
      <w:tr w:rsidR="006D7CDF" w:rsidRPr="00B16338" w:rsidTr="00267DC5">
        <w:tc>
          <w:tcPr>
            <w:tcW w:w="1560" w:type="dxa"/>
            <w:shd w:val="clear" w:color="auto" w:fill="auto"/>
          </w:tcPr>
          <w:p w:rsidR="006D7CDF" w:rsidRPr="00B16338" w:rsidRDefault="006D7CDF" w:rsidP="00267DC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0" w:type="dxa"/>
            <w:shd w:val="clear" w:color="auto" w:fill="auto"/>
          </w:tcPr>
          <w:p w:rsidR="006D7CDF" w:rsidRPr="00B16338" w:rsidRDefault="006D7CDF" w:rsidP="00267DC5">
            <w:pPr>
              <w:jc w:val="right"/>
              <w:outlineLvl w:val="0"/>
              <w:rPr>
                <w:sz w:val="26"/>
                <w:szCs w:val="26"/>
              </w:rPr>
            </w:pPr>
          </w:p>
        </w:tc>
        <w:tc>
          <w:tcPr>
            <w:tcW w:w="7578" w:type="dxa"/>
            <w:shd w:val="clear" w:color="auto" w:fill="auto"/>
          </w:tcPr>
          <w:p w:rsidR="006D7CDF" w:rsidRPr="00B16338" w:rsidRDefault="006D7CDF" w:rsidP="00267DC5">
            <w:pPr>
              <w:jc w:val="both"/>
              <w:rPr>
                <w:b/>
                <w:i/>
                <w:color w:val="000000"/>
                <w:sz w:val="26"/>
                <w:szCs w:val="26"/>
              </w:rPr>
            </w:pPr>
          </w:p>
        </w:tc>
      </w:tr>
      <w:tr w:rsidR="006D7CDF" w:rsidRPr="00B16338" w:rsidTr="00267DC5">
        <w:tc>
          <w:tcPr>
            <w:tcW w:w="1560" w:type="dxa"/>
            <w:shd w:val="clear" w:color="auto" w:fill="auto"/>
          </w:tcPr>
          <w:p w:rsidR="006D7CDF" w:rsidRDefault="006D7CDF" w:rsidP="00267DC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0" w:type="dxa"/>
            <w:shd w:val="clear" w:color="auto" w:fill="auto"/>
          </w:tcPr>
          <w:p w:rsidR="006D7CDF" w:rsidRPr="00B16338" w:rsidRDefault="006D7CDF" w:rsidP="00267DC5">
            <w:pPr>
              <w:jc w:val="right"/>
              <w:outlineLvl w:val="0"/>
              <w:rPr>
                <w:sz w:val="26"/>
                <w:szCs w:val="26"/>
              </w:rPr>
            </w:pPr>
          </w:p>
        </w:tc>
        <w:tc>
          <w:tcPr>
            <w:tcW w:w="7578" w:type="dxa"/>
            <w:shd w:val="clear" w:color="auto" w:fill="auto"/>
          </w:tcPr>
          <w:p w:rsidR="006D7CDF" w:rsidRPr="00B16338" w:rsidRDefault="006D7CDF" w:rsidP="00267DC5">
            <w:pPr>
              <w:jc w:val="both"/>
              <w:rPr>
                <w:b/>
                <w:i/>
                <w:color w:val="000000"/>
                <w:sz w:val="26"/>
                <w:szCs w:val="26"/>
              </w:rPr>
            </w:pPr>
          </w:p>
        </w:tc>
      </w:tr>
      <w:tr w:rsidR="006D7CDF" w:rsidRPr="00B16338" w:rsidTr="00267DC5">
        <w:tc>
          <w:tcPr>
            <w:tcW w:w="1560" w:type="dxa"/>
            <w:shd w:val="clear" w:color="auto" w:fill="auto"/>
          </w:tcPr>
          <w:p w:rsidR="006D7CDF" w:rsidRPr="00B16338" w:rsidRDefault="006D7CDF" w:rsidP="007F6A8B">
            <w:pPr>
              <w:rPr>
                <w:sz w:val="26"/>
                <w:szCs w:val="26"/>
              </w:rPr>
            </w:pPr>
          </w:p>
        </w:tc>
        <w:tc>
          <w:tcPr>
            <w:tcW w:w="360" w:type="dxa"/>
            <w:shd w:val="clear" w:color="auto" w:fill="auto"/>
          </w:tcPr>
          <w:p w:rsidR="006D7CDF" w:rsidRPr="00B16338" w:rsidRDefault="006D7CDF" w:rsidP="00267DC5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7578" w:type="dxa"/>
            <w:shd w:val="clear" w:color="auto" w:fill="auto"/>
          </w:tcPr>
          <w:p w:rsidR="006D7CDF" w:rsidRPr="00B16338" w:rsidRDefault="006D7CDF" w:rsidP="00267DC5">
            <w:pPr>
              <w:jc w:val="both"/>
              <w:rPr>
                <w:b/>
                <w:color w:val="000000"/>
                <w:sz w:val="26"/>
                <w:szCs w:val="26"/>
              </w:rPr>
            </w:pPr>
          </w:p>
        </w:tc>
      </w:tr>
      <w:tr w:rsidR="006D7CDF" w:rsidTr="00267DC5">
        <w:tc>
          <w:tcPr>
            <w:tcW w:w="1560" w:type="dxa"/>
            <w:shd w:val="clear" w:color="auto" w:fill="auto"/>
          </w:tcPr>
          <w:p w:rsidR="006D7CDF" w:rsidRDefault="006D7CDF" w:rsidP="00267DC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0" w:type="dxa"/>
            <w:shd w:val="clear" w:color="auto" w:fill="auto"/>
          </w:tcPr>
          <w:p w:rsidR="006D7CDF" w:rsidRDefault="006D7CDF" w:rsidP="00267DC5">
            <w:pPr>
              <w:jc w:val="right"/>
              <w:outlineLvl w:val="0"/>
              <w:rPr>
                <w:sz w:val="26"/>
                <w:szCs w:val="26"/>
              </w:rPr>
            </w:pPr>
          </w:p>
        </w:tc>
        <w:tc>
          <w:tcPr>
            <w:tcW w:w="7578" w:type="dxa"/>
            <w:shd w:val="clear" w:color="auto" w:fill="auto"/>
          </w:tcPr>
          <w:p w:rsidR="006D7CDF" w:rsidRDefault="006D7CDF" w:rsidP="00267DC5">
            <w:pPr>
              <w:widowControl w:val="0"/>
              <w:tabs>
                <w:tab w:val="num" w:pos="0"/>
                <w:tab w:val="num" w:pos="786"/>
              </w:tabs>
              <w:jc w:val="both"/>
              <w:rPr>
                <w:b/>
                <w:sz w:val="26"/>
                <w:szCs w:val="26"/>
              </w:rPr>
            </w:pPr>
          </w:p>
        </w:tc>
      </w:tr>
      <w:tr w:rsidR="006D7CDF" w:rsidRPr="00CE26FF" w:rsidTr="00267DC5">
        <w:tc>
          <w:tcPr>
            <w:tcW w:w="1560" w:type="dxa"/>
            <w:shd w:val="clear" w:color="auto" w:fill="auto"/>
          </w:tcPr>
          <w:p w:rsidR="006D7CDF" w:rsidRPr="00B16338" w:rsidRDefault="006D7CDF" w:rsidP="00267DC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0" w:type="dxa"/>
            <w:shd w:val="clear" w:color="auto" w:fill="auto"/>
          </w:tcPr>
          <w:p w:rsidR="006D7CDF" w:rsidRPr="00B16338" w:rsidRDefault="006D7CDF" w:rsidP="00267DC5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7578" w:type="dxa"/>
            <w:shd w:val="clear" w:color="auto" w:fill="auto"/>
          </w:tcPr>
          <w:p w:rsidR="006D7CDF" w:rsidRPr="00CE26FF" w:rsidRDefault="006D7CDF" w:rsidP="00267DC5">
            <w:pPr>
              <w:widowControl w:val="0"/>
              <w:tabs>
                <w:tab w:val="num" w:pos="0"/>
                <w:tab w:val="num" w:pos="786"/>
              </w:tabs>
              <w:jc w:val="both"/>
              <w:rPr>
                <w:b/>
                <w:sz w:val="26"/>
                <w:szCs w:val="26"/>
              </w:rPr>
            </w:pPr>
          </w:p>
        </w:tc>
      </w:tr>
      <w:tr w:rsidR="006D7CDF" w:rsidRPr="00CE26FF" w:rsidTr="00267DC5">
        <w:tc>
          <w:tcPr>
            <w:tcW w:w="1560" w:type="dxa"/>
            <w:shd w:val="clear" w:color="auto" w:fill="auto"/>
          </w:tcPr>
          <w:p w:rsidR="006D7CDF" w:rsidRDefault="006D7CDF" w:rsidP="00267DC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0" w:type="dxa"/>
            <w:shd w:val="clear" w:color="auto" w:fill="auto"/>
          </w:tcPr>
          <w:p w:rsidR="006D7CDF" w:rsidRPr="00B16338" w:rsidRDefault="006D7CDF" w:rsidP="00267DC5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7578" w:type="dxa"/>
            <w:shd w:val="clear" w:color="auto" w:fill="auto"/>
          </w:tcPr>
          <w:p w:rsidR="006D7CDF" w:rsidRPr="000D6E68" w:rsidRDefault="006D7CDF" w:rsidP="00267DC5">
            <w:pPr>
              <w:widowControl w:val="0"/>
              <w:tabs>
                <w:tab w:val="num" w:pos="0"/>
                <w:tab w:val="num" w:pos="786"/>
              </w:tabs>
              <w:jc w:val="both"/>
              <w:rPr>
                <w:b/>
                <w:i/>
                <w:sz w:val="26"/>
                <w:szCs w:val="26"/>
              </w:rPr>
            </w:pPr>
          </w:p>
        </w:tc>
      </w:tr>
      <w:tr w:rsidR="006D7CDF" w:rsidRPr="00B16338" w:rsidTr="00267DC5">
        <w:tc>
          <w:tcPr>
            <w:tcW w:w="1560" w:type="dxa"/>
            <w:shd w:val="clear" w:color="auto" w:fill="auto"/>
          </w:tcPr>
          <w:p w:rsidR="006D7CDF" w:rsidRDefault="006D7CDF" w:rsidP="00267DC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0" w:type="dxa"/>
            <w:shd w:val="clear" w:color="auto" w:fill="auto"/>
          </w:tcPr>
          <w:p w:rsidR="006D7CDF" w:rsidRDefault="006D7CDF" w:rsidP="00267DC5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7578" w:type="dxa"/>
            <w:shd w:val="clear" w:color="auto" w:fill="auto"/>
          </w:tcPr>
          <w:p w:rsidR="006D7CDF" w:rsidRPr="000D6E68" w:rsidRDefault="006D7CDF" w:rsidP="00267DC5">
            <w:pPr>
              <w:widowControl w:val="0"/>
              <w:tabs>
                <w:tab w:val="num" w:pos="0"/>
                <w:tab w:val="num" w:pos="786"/>
              </w:tabs>
              <w:jc w:val="both"/>
              <w:rPr>
                <w:b/>
                <w:color w:val="000000"/>
                <w:sz w:val="20"/>
                <w:szCs w:val="20"/>
              </w:rPr>
            </w:pPr>
          </w:p>
        </w:tc>
      </w:tr>
      <w:tr w:rsidR="006D7CDF" w:rsidRPr="00B16338" w:rsidTr="00267DC5">
        <w:tc>
          <w:tcPr>
            <w:tcW w:w="1560" w:type="dxa"/>
            <w:shd w:val="clear" w:color="auto" w:fill="auto"/>
          </w:tcPr>
          <w:p w:rsidR="006D7CDF" w:rsidRDefault="006D7CDF" w:rsidP="00267DC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0" w:type="dxa"/>
            <w:shd w:val="clear" w:color="auto" w:fill="auto"/>
          </w:tcPr>
          <w:p w:rsidR="006D7CDF" w:rsidRDefault="006D7CDF" w:rsidP="00267DC5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7578" w:type="dxa"/>
            <w:shd w:val="clear" w:color="auto" w:fill="auto"/>
          </w:tcPr>
          <w:p w:rsidR="006D7CDF" w:rsidRPr="000D6E68" w:rsidRDefault="006D7CDF" w:rsidP="007F6A8B">
            <w:pPr>
              <w:widowControl w:val="0"/>
              <w:tabs>
                <w:tab w:val="num" w:pos="0"/>
                <w:tab w:val="num" w:pos="786"/>
              </w:tabs>
              <w:jc w:val="both"/>
              <w:rPr>
                <w:b/>
                <w:color w:val="000000"/>
                <w:sz w:val="20"/>
                <w:szCs w:val="20"/>
              </w:rPr>
            </w:pPr>
          </w:p>
        </w:tc>
      </w:tr>
      <w:tr w:rsidR="006D7CDF" w:rsidRPr="00CE26FF" w:rsidTr="00267DC5">
        <w:tc>
          <w:tcPr>
            <w:tcW w:w="1560" w:type="dxa"/>
            <w:shd w:val="clear" w:color="auto" w:fill="auto"/>
          </w:tcPr>
          <w:p w:rsidR="006D7CDF" w:rsidRPr="00B16338" w:rsidRDefault="006D7CDF" w:rsidP="00C61DEA">
            <w:pPr>
              <w:rPr>
                <w:sz w:val="26"/>
                <w:szCs w:val="26"/>
              </w:rPr>
            </w:pPr>
          </w:p>
        </w:tc>
        <w:tc>
          <w:tcPr>
            <w:tcW w:w="360" w:type="dxa"/>
            <w:shd w:val="clear" w:color="auto" w:fill="auto"/>
          </w:tcPr>
          <w:p w:rsidR="006D7CDF" w:rsidRPr="00B16338" w:rsidRDefault="006D7CDF" w:rsidP="00C61DE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578" w:type="dxa"/>
            <w:shd w:val="clear" w:color="auto" w:fill="auto"/>
          </w:tcPr>
          <w:p w:rsidR="006D7CDF" w:rsidRPr="000D6E68" w:rsidRDefault="006D7CDF" w:rsidP="00267DC5">
            <w:pPr>
              <w:widowControl w:val="0"/>
              <w:tabs>
                <w:tab w:val="num" w:pos="0"/>
                <w:tab w:val="num" w:pos="786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6D7CDF" w:rsidRPr="00136B59" w:rsidTr="00267DC5">
        <w:tc>
          <w:tcPr>
            <w:tcW w:w="1560" w:type="dxa"/>
            <w:shd w:val="clear" w:color="auto" w:fill="auto"/>
          </w:tcPr>
          <w:p w:rsidR="006D7CDF" w:rsidRPr="00B16338" w:rsidRDefault="006D7CDF" w:rsidP="00267DC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0" w:type="dxa"/>
            <w:shd w:val="clear" w:color="auto" w:fill="auto"/>
          </w:tcPr>
          <w:p w:rsidR="006D7CDF" w:rsidRPr="00B16338" w:rsidRDefault="006D7CDF" w:rsidP="00267DC5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7578" w:type="dxa"/>
            <w:shd w:val="clear" w:color="auto" w:fill="auto"/>
          </w:tcPr>
          <w:p w:rsidR="006D7CDF" w:rsidRPr="00B16338" w:rsidRDefault="006D7CDF" w:rsidP="00267DC5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Встреча</w:t>
            </w:r>
            <w:r w:rsidRPr="00B16338">
              <w:rPr>
                <w:b/>
                <w:sz w:val="26"/>
                <w:szCs w:val="26"/>
              </w:rPr>
              <w:t xml:space="preserve"> с жителями </w:t>
            </w:r>
            <w:r>
              <w:rPr>
                <w:b/>
                <w:sz w:val="26"/>
                <w:szCs w:val="26"/>
              </w:rPr>
              <w:t>с. Оксино</w:t>
            </w:r>
          </w:p>
          <w:p w:rsidR="006D7CDF" w:rsidRDefault="006D7CDF" w:rsidP="00267DC5">
            <w:pPr>
              <w:widowControl w:val="0"/>
              <w:tabs>
                <w:tab w:val="num" w:pos="0"/>
                <w:tab w:val="num" w:pos="786"/>
              </w:tabs>
              <w:jc w:val="both"/>
              <w:rPr>
                <w:i/>
                <w:sz w:val="26"/>
                <w:szCs w:val="26"/>
              </w:rPr>
            </w:pPr>
          </w:p>
          <w:p w:rsidR="006D7CDF" w:rsidRPr="000D6E68" w:rsidRDefault="006D7CDF" w:rsidP="00267DC5">
            <w:pPr>
              <w:widowControl w:val="0"/>
              <w:tabs>
                <w:tab w:val="num" w:pos="0"/>
                <w:tab w:val="num" w:pos="786"/>
              </w:tabs>
              <w:jc w:val="both"/>
              <w:rPr>
                <w:i/>
                <w:sz w:val="20"/>
                <w:szCs w:val="20"/>
              </w:rPr>
            </w:pPr>
          </w:p>
        </w:tc>
      </w:tr>
      <w:tr w:rsidR="006D7CDF" w:rsidRPr="00B16338" w:rsidTr="00267DC5">
        <w:tc>
          <w:tcPr>
            <w:tcW w:w="1560" w:type="dxa"/>
            <w:shd w:val="clear" w:color="auto" w:fill="auto"/>
          </w:tcPr>
          <w:p w:rsidR="006D7CDF" w:rsidRPr="00B16338" w:rsidRDefault="006D7CDF" w:rsidP="00267DC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0" w:type="dxa"/>
            <w:shd w:val="clear" w:color="auto" w:fill="auto"/>
          </w:tcPr>
          <w:p w:rsidR="006D7CDF" w:rsidRPr="00B16338" w:rsidRDefault="006D7CDF" w:rsidP="00267DC5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7578" w:type="dxa"/>
            <w:shd w:val="clear" w:color="auto" w:fill="auto"/>
          </w:tcPr>
          <w:p w:rsidR="006D7CDF" w:rsidRPr="000D6E68" w:rsidRDefault="006D7CDF" w:rsidP="00267DC5">
            <w:pPr>
              <w:jc w:val="both"/>
              <w:rPr>
                <w:sz w:val="20"/>
                <w:szCs w:val="20"/>
              </w:rPr>
            </w:pPr>
          </w:p>
        </w:tc>
      </w:tr>
      <w:tr w:rsidR="006D7CDF" w:rsidRPr="00B16338" w:rsidTr="00267DC5">
        <w:tc>
          <w:tcPr>
            <w:tcW w:w="1560" w:type="dxa"/>
            <w:shd w:val="clear" w:color="auto" w:fill="auto"/>
          </w:tcPr>
          <w:p w:rsidR="006D7CDF" w:rsidRDefault="006D7CDF" w:rsidP="00267DC5">
            <w:pPr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360" w:type="dxa"/>
            <w:shd w:val="clear" w:color="auto" w:fill="auto"/>
          </w:tcPr>
          <w:p w:rsidR="006D7CDF" w:rsidRDefault="006D7CDF" w:rsidP="00267DC5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7578" w:type="dxa"/>
            <w:shd w:val="clear" w:color="auto" w:fill="auto"/>
          </w:tcPr>
          <w:p w:rsidR="006D7CDF" w:rsidRPr="00362F7C" w:rsidRDefault="006D7CDF" w:rsidP="00267DC5">
            <w:pPr>
              <w:jc w:val="both"/>
              <w:rPr>
                <w:sz w:val="26"/>
                <w:szCs w:val="26"/>
              </w:rPr>
            </w:pPr>
          </w:p>
        </w:tc>
      </w:tr>
      <w:tr w:rsidR="006D7CDF" w:rsidRPr="00B16338" w:rsidTr="00267DC5">
        <w:tc>
          <w:tcPr>
            <w:tcW w:w="1560" w:type="dxa"/>
            <w:shd w:val="clear" w:color="auto" w:fill="auto"/>
          </w:tcPr>
          <w:p w:rsidR="006D7CDF" w:rsidRPr="0077793F" w:rsidRDefault="006D7CDF" w:rsidP="00267DC5">
            <w:pPr>
              <w:jc w:val="center"/>
              <w:outlineLvl w:val="0"/>
              <w:rPr>
                <w:b/>
                <w:sz w:val="26"/>
                <w:szCs w:val="26"/>
                <w:u w:val="single"/>
              </w:rPr>
            </w:pPr>
          </w:p>
        </w:tc>
        <w:tc>
          <w:tcPr>
            <w:tcW w:w="360" w:type="dxa"/>
            <w:shd w:val="clear" w:color="auto" w:fill="auto"/>
          </w:tcPr>
          <w:p w:rsidR="006D7CDF" w:rsidRDefault="006D7CDF" w:rsidP="00267DC5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7578" w:type="dxa"/>
            <w:shd w:val="clear" w:color="auto" w:fill="auto"/>
          </w:tcPr>
          <w:p w:rsidR="006D7CDF" w:rsidRPr="001B5E3D" w:rsidRDefault="006D7CDF" w:rsidP="00267DC5">
            <w:pPr>
              <w:rPr>
                <w:sz w:val="26"/>
                <w:szCs w:val="26"/>
              </w:rPr>
            </w:pPr>
          </w:p>
        </w:tc>
      </w:tr>
    </w:tbl>
    <w:p w:rsidR="006D7CDF" w:rsidRDefault="006D7CDF" w:rsidP="00B6359B">
      <w:pPr>
        <w:widowControl w:val="0"/>
        <w:rPr>
          <w:sz w:val="26"/>
          <w:szCs w:val="26"/>
        </w:rPr>
      </w:pPr>
    </w:p>
    <w:p w:rsidR="006D7CDF" w:rsidRDefault="006D7CDF" w:rsidP="006D7CDF">
      <w:pPr>
        <w:widowControl w:val="0"/>
        <w:jc w:val="right"/>
        <w:rPr>
          <w:sz w:val="26"/>
          <w:szCs w:val="26"/>
        </w:rPr>
      </w:pPr>
    </w:p>
    <w:p w:rsidR="006D7CDF" w:rsidRDefault="006D7CDF" w:rsidP="006D7CDF">
      <w:pPr>
        <w:jc w:val="center"/>
        <w:rPr>
          <w:sz w:val="26"/>
          <w:szCs w:val="26"/>
        </w:rPr>
      </w:pPr>
    </w:p>
    <w:p w:rsidR="006D7CDF" w:rsidRDefault="006D7CDF" w:rsidP="006D7CDF">
      <w:pPr>
        <w:jc w:val="center"/>
        <w:rPr>
          <w:sz w:val="26"/>
          <w:szCs w:val="26"/>
        </w:rPr>
      </w:pPr>
    </w:p>
    <w:p w:rsidR="006D7CDF" w:rsidRDefault="006D7CDF" w:rsidP="006D7CDF">
      <w:pPr>
        <w:jc w:val="center"/>
        <w:rPr>
          <w:sz w:val="26"/>
          <w:szCs w:val="26"/>
        </w:rPr>
      </w:pPr>
    </w:p>
    <w:p w:rsidR="006D7CDF" w:rsidRDefault="006D7CDF" w:rsidP="006D7CDF">
      <w:pPr>
        <w:jc w:val="center"/>
        <w:rPr>
          <w:sz w:val="26"/>
          <w:szCs w:val="26"/>
        </w:rPr>
      </w:pPr>
    </w:p>
    <w:p w:rsidR="006D7CDF" w:rsidRDefault="006D7CDF" w:rsidP="006D7CDF">
      <w:pPr>
        <w:jc w:val="center"/>
        <w:rPr>
          <w:sz w:val="26"/>
          <w:szCs w:val="26"/>
        </w:rPr>
      </w:pPr>
    </w:p>
    <w:p w:rsidR="006D7CDF" w:rsidRDefault="006D7CDF" w:rsidP="006D7CDF">
      <w:pPr>
        <w:jc w:val="center"/>
        <w:rPr>
          <w:sz w:val="26"/>
          <w:szCs w:val="26"/>
        </w:rPr>
      </w:pPr>
    </w:p>
    <w:p w:rsidR="006D7CDF" w:rsidRDefault="006D7CDF" w:rsidP="006D7CDF">
      <w:pPr>
        <w:jc w:val="center"/>
        <w:rPr>
          <w:sz w:val="26"/>
          <w:szCs w:val="26"/>
        </w:rPr>
      </w:pPr>
    </w:p>
    <w:p w:rsidR="006D7CDF" w:rsidRDefault="006D7CDF" w:rsidP="006D7CDF">
      <w:pPr>
        <w:jc w:val="center"/>
        <w:rPr>
          <w:sz w:val="26"/>
          <w:szCs w:val="26"/>
        </w:rPr>
      </w:pPr>
    </w:p>
    <w:p w:rsidR="006D7CDF" w:rsidRDefault="006D7CDF" w:rsidP="006D7CDF">
      <w:pPr>
        <w:jc w:val="center"/>
        <w:rPr>
          <w:sz w:val="26"/>
          <w:szCs w:val="26"/>
        </w:rPr>
      </w:pPr>
    </w:p>
    <w:p w:rsidR="006D7CDF" w:rsidRDefault="006D7CDF" w:rsidP="006D7CDF">
      <w:pPr>
        <w:jc w:val="center"/>
        <w:rPr>
          <w:sz w:val="26"/>
          <w:szCs w:val="26"/>
        </w:rPr>
      </w:pPr>
    </w:p>
    <w:p w:rsidR="006B4697" w:rsidRDefault="006B4697"/>
    <w:sectPr w:rsidR="006B4697" w:rsidSect="00AE755C">
      <w:headerReference w:type="even" r:id="rId7"/>
      <w:headerReference w:type="default" r:id="rId8"/>
      <w:headerReference w:type="first" r:id="rId9"/>
      <w:pgSz w:w="11906" w:h="16838" w:code="9"/>
      <w:pgMar w:top="1134" w:right="851" w:bottom="1134" w:left="1701" w:header="709" w:footer="482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5807" w:rsidRDefault="00E35807" w:rsidP="0006477F">
      <w:r>
        <w:separator/>
      </w:r>
    </w:p>
  </w:endnote>
  <w:endnote w:type="continuationSeparator" w:id="0">
    <w:p w:rsidR="00E35807" w:rsidRDefault="00E35807" w:rsidP="000647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5807" w:rsidRDefault="00E35807" w:rsidP="0006477F">
      <w:r>
        <w:separator/>
      </w:r>
    </w:p>
  </w:footnote>
  <w:footnote w:type="continuationSeparator" w:id="0">
    <w:p w:rsidR="00E35807" w:rsidRDefault="00E35807" w:rsidP="000647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87E" w:rsidRDefault="0006477F" w:rsidP="00B642B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97DA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5287E" w:rsidRDefault="00E3580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55C" w:rsidRDefault="0006477F">
    <w:pPr>
      <w:pStyle w:val="a3"/>
      <w:jc w:val="center"/>
    </w:pPr>
    <w:r>
      <w:fldChar w:fldCharType="begin"/>
    </w:r>
    <w:r w:rsidR="00F97DAE">
      <w:instrText>PAGE   \* MERGEFORMAT</w:instrText>
    </w:r>
    <w:r>
      <w:fldChar w:fldCharType="separate"/>
    </w:r>
    <w:r w:rsidR="00C73A13">
      <w:rPr>
        <w:noProof/>
      </w:rPr>
      <w:t>2</w:t>
    </w:r>
    <w:r>
      <w:fldChar w:fldCharType="end"/>
    </w:r>
  </w:p>
  <w:p w:rsidR="00AE755C" w:rsidRDefault="00E35807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B6E" w:rsidRDefault="00E35807" w:rsidP="008A2B6E">
    <w:pPr>
      <w:pStyle w:val="a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B4E52"/>
    <w:multiLevelType w:val="hybridMultilevel"/>
    <w:tmpl w:val="592EA3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">
    <w:nsid w:val="67E91B4B"/>
    <w:multiLevelType w:val="hybridMultilevel"/>
    <w:tmpl w:val="B41632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7CDF"/>
    <w:rsid w:val="0006477F"/>
    <w:rsid w:val="001D2869"/>
    <w:rsid w:val="0024377D"/>
    <w:rsid w:val="002C398C"/>
    <w:rsid w:val="002D41ED"/>
    <w:rsid w:val="00495164"/>
    <w:rsid w:val="00514E4C"/>
    <w:rsid w:val="00583877"/>
    <w:rsid w:val="00584AE2"/>
    <w:rsid w:val="006400CC"/>
    <w:rsid w:val="006B4697"/>
    <w:rsid w:val="006D7CDF"/>
    <w:rsid w:val="007F6A8B"/>
    <w:rsid w:val="0085152D"/>
    <w:rsid w:val="008B24E5"/>
    <w:rsid w:val="00A20867"/>
    <w:rsid w:val="00A362F0"/>
    <w:rsid w:val="00B6359B"/>
    <w:rsid w:val="00B867E4"/>
    <w:rsid w:val="00C61DEA"/>
    <w:rsid w:val="00C73A13"/>
    <w:rsid w:val="00CD3F5F"/>
    <w:rsid w:val="00D0311D"/>
    <w:rsid w:val="00DA59E3"/>
    <w:rsid w:val="00E35807"/>
    <w:rsid w:val="00E80304"/>
    <w:rsid w:val="00F97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C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D7C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D7C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D7CDF"/>
  </w:style>
  <w:style w:type="paragraph" w:customStyle="1" w:styleId="ConsPlusNonformat">
    <w:name w:val="ConsPlusNonformat"/>
    <w:rsid w:val="006D7CD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2014-09-10T16:04:00Z</dcterms:created>
  <dcterms:modified xsi:type="dcterms:W3CDTF">2014-09-11T05:28:00Z</dcterms:modified>
</cp:coreProperties>
</file>